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20 456/94 vom 26. Oktober 2020</w:t>
      </w:r>
    </w:p>
    <w:p>
      <w:r>
        <w:t>BL Gerichte, 2020-10-26, DE</w:t>
      </w:r>
    </w:p>
    <w:p>
      <w:r>
        <w:rPr>
          <w:b/>
        </w:rPr>
        <w:t xml:space="preserve">Quelle: </w:t>
      </w:r>
      <w:r>
        <w:t>https://mcp.opencaselaw.ch/entscheid/bl_gerichte_720 20 456_94</w:t>
      </w:r>
    </w:p>
    <w:p>
      <w:r>
        <w:t>FR: BL_GERICHTE 720 20 456/94 du 26 octobre 2020</w:t>
      </w:r>
    </w:p>
    <w:p>
      <w:r>
        <w:t>IT: BL_GERICHTE 720 20 456/94 del 26 ottobre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26. November 2020 ist demnach einzutreten.</w:t>
      </w:r>
    </w:p>
    <w:p>
      <w:r>
        <w:rPr>
          <w:b/>
        </w:rPr>
        <w:t>E. 2</w:t>
      </w:r>
    </w:p>
    <w:p>
      <w:r>
        <w:t>Strittig und somit zu prüfen ist, ob die Beschwerdeführerin Anspruch auf eine IV-Rente hat. In diesem Zusammenhang ist insbesondere der Umfang der medizinisch theoretischen Arbeitsfähigkeit der Beschwerdeführerin, namentlich in Bezug auf die angestammte Tätigkeit, strittig.</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w:t>
      </w:r>
    </w:p>
    <w:p>
      <w:r>
        <w:t>Ausgangspunkt der Ermittlung des Invaliditätsgrades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26. November 2019, 8C_549/2019, E. 3.2 mit Hinweis, und vom 8. April 2020, 8C_60/2020, E. 3.2).</w:t>
      </w:r>
    </w:p>
    <w:p>
      <w:r>
        <w:rPr>
          <w:b/>
        </w:rPr>
        <w:t>E. 3.4</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(BGE 135 V 254 E. 3.4; Urteil des Bundesgerichts vom 16. September 2014, 8C_385/2014, E. 4.2.1).</w:t>
      </w:r>
    </w:p>
    <w:p>
      <w:r>
        <w:rPr>
          <w:b/>
        </w:rPr>
        <w:t>E. 3.5</w:t>
      </w:r>
    </w:p>
    <w:p>
      <w:r>
        <w:t>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(BGE 139 V 225 E. 5.2; 135 V 465 E. 4.4 und E. 4.7; zum Ganzen auch: Urteil des Bundesgerichts vom 30. November 2015, 9C_627/2015, E. 2 mit weiteren Hinweisen).</w:t>
      </w:r>
    </w:p>
    <w:p>
      <w:r>
        <w:rPr>
          <w:b/>
        </w:rPr>
        <w:t>E. 3.6</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3.7</w:t>
      </w:r>
    </w:p>
    <w:p>
      <w:r>
        <w:t>Das Sozialversicherungsgericht stellt bei der Beurteilung einer Streitsache in der Regel auf den bis zum Zeitpunkt des Erlasses der streitigen Verfügung eingetretenen Sachverhalt ab; vorliegend also auf den 26. Oktober 2020. Tatsachen, die sich erst später verwirklichen, sind jedoch insoweit zu berücksichtigen, als sie mit dem Streitgegenstand in einem engen Sachzusammenhang stehen und geeignet sind, die Beurteilung im Zeitpunkt des Verfügungserlasses zu beeinflussen (Urteile des Bundesgerichts vom 12. Juni 2007, 9C_101/2007, E. 3.1 und vom 27. Mai 2008, 9C_24/2008,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(Urteile des Bundesverwaltungsgerichts vom 26. April 2016, C-2263/2014, E. 2.1 und vom 16. November 2015, C-3733/2014, E. 2.2).</w:t>
      </w:r>
    </w:p>
    <w:p>
      <w:r>
        <w:rPr>
          <w:b/>
        </w:rPr>
        <w:t>E. 4</w:t>
      </w:r>
    </w:p>
    <w:p>
      <w:r>
        <w:t>Zur Beurteilung des vorliegenden Falls liegen zahlreiche medizinische Unterlagen vor, die vom Gericht gesamthaft gewürdigt wurden. Im Folgenden sollen indessen lediglich diejenigen Berichte wiedergegeben werden, welche sich für den vorliegenden Entscheid als zentral erweisen.</w:t>
      </w:r>
    </w:p>
    <w:p>
      <w:r>
        <w:rPr>
          <w:b/>
        </w:rPr>
        <w:t>E. 4.1</w:t>
      </w:r>
    </w:p>
    <w:p>
      <w:r>
        <w:t>Dr. med. B.____, FMH Allgemeine Innere Medizin, diagnostizierte in seinem Bericht vom 17. Juli 2019 mit Auswirkungen auf die Arbeitsfähigkeit ein idiopathisches Parkinson-Syndrom seit Januar 2018, eine arterielle Hypertonie bei chronischer Nierenarterienstenose links seit Januar 2014 bei schwerer Einstellbarkeit des Blutdrucks und im Rahmen des gleichzeitigen Parkinsonsyndroms rezidivierende Synkopen, eine Overactive Bladder wet mit Drangkontinenz Grad I sowie einen Status nach rezidivierenden Harnwegsinfektionen, zuletzt mit Pyelonephritis im Juni 2019, eine Osteoporose seit September 2019 mit damals Fraktur des Lendenwirbelkörpers 5 nach Verhebetrauma unter Prolia-Therapie sowie einen rezidivierenden Alkoholabusus. Ohne Auswirkungen auf die Arbeitsfähigkeit diagnostizierte er ein Asthma bronchiale, einen fortgesetzten Nikotinabusus, einen Status nach Polytoxikomanie und eine Hepatitis C Seronarbe. Zur Prognose hielt Dr. B.____ fest, die Versicherte sei seines Erachtens noch knapp 50% arbeitsfähig in ihrem Geschäft, wobei sie dabei teils auf Unterstützung von anderen Personen angewiesen sei. Eine Erhöhung des Pensums sei sicher nicht mehr möglich, auch wenn die aktuelle Tätigkeit im Secondhand-Geschäft eher leichter Natur sei. Die Parkinsonerkrankung, die in letzter Zeit wiederholten Synkopen sowie die Problematik mit der Blase hätten in den letzten Monaten zu wiederholten Ausfällen am Arbeitsplatz mit teils Hospitalisationen geführt. Die vorzeitig gealterte Versicherte sei chronisch müde und in ihrem Leistungsvermögen eingeschränkt. Es sei daher eine Verschlechterung zu erwarten.</w:t>
      </w:r>
    </w:p>
    <w:p>
      <w:r>
        <w:rPr>
          <w:b/>
        </w:rPr>
        <w:t>E. 4.2</w:t>
      </w:r>
    </w:p>
    <w:p>
      <w:r>
        <w:t>Im Untersuchungsbericht vom 7. November 2019 hielt der RAD-Arzt Dr. med. C.____, Facharzt für Allgemeinmedizin (D), fest, auf eine Untersuchung der Versicherten sei anlässlich des persönlichen Gesprächs vom 6. November 2019 verzichtet worden, da in den Akten ausreichende Angaben vorliegen würden. Als Diagnosen mit Auswirkungen auf die Arbeitsfähigkeit führte er ein idiopathisches Parkinson-Syndrom, eine Overactive Bladder wet mit Drangkontinenz Grad I sowie einen Status nach rezidivierenden Harnwegsinfektionen, zuletzt mit Pyelonephritis im Juni 2019 und eine Osteoporose seit September 2019 mit damals Fraktur des Lendenwirbelkörpers 5 nach Verhebetrauma unter Prolia-Therapie auf. Ohne Auswirkungen auf die Arbeitsfähigkeit bestehe eine arterielle Hypertonie bei chronischer Nierenarterien- stenose links seit Januar 2014 bei schwerer Einstellbarkeit des Blutdrucks und im Rahmen des gleichzeitigen Parkinsonsyndroms rezidivierende Synkopen, einen Alkoholabusus, eine chronisch obstruktive Lungenkrankheit (COPD) mit/bei fortgesetztem Nikotinabusus, einen Status nach Polytoxikomanie und eine Hepatitis C Seronarbe. In seiner Beurteilung hielt Dr. C.____ fest, das bestehende Arbeitsumfeld stelle eine günstige Voraussetzung dar, wobei neben der Präsenz im Geschäft noch zusätzliche Aufgaben zu verrichten seien (Einkäufe, Aufbereitung). Für diese Tätigkeit gehe er medizin-theoretisch von einer 60%igen Arbeitsfähigkeit seit August 2018 aus. In einer ähnlichen Tätigkeit im Angestelltenverhältnis oder in einer angepassten, körperlich leichten Tätigkeit nehme er eine 50%ige Arbeitsfähigkeit an.</w:t>
      </w:r>
    </w:p>
    <w:p>
      <w:r>
        <w:rPr>
          <w:b/>
        </w:rPr>
        <w:t>E. 4.3</w:t>
      </w:r>
    </w:p>
    <w:p>
      <w:r>
        <w:t>Anlässlich der neurologischen Verlaufskontrolle vom 17. Juni 2020 hielt Dr. med. D.____, FMH Neurologie, in seinem Bericht vom 24. Juni 2020 fest, unter einem Dopamin-Agonist in Kombination mit L-Dopa zeige sich ein insgesamt guter Verlauf, wobei die Patientin weiterhin über nachmittägliche und nächtliche Blockaden berichte. Hinsichtlich des IV-Gesuchs könne er eine 50%ige Arbeitsunfähigkeit aus neurologischer Sicht voll und ganz unterstützen.</w:t>
      </w:r>
    </w:p>
    <w:p>
      <w:r>
        <w:rPr>
          <w:b/>
        </w:rPr>
        <w:t>E. 4.4</w:t>
      </w:r>
    </w:p>
    <w:p>
      <w:r>
        <w:t>Dr. D.____ hielt im Bericht vom 30. Juli 2020 hinsichtlich des Neurostatus fest, es bestehe ein feinschlägiger Haltetremor von rechts nach links, kein Ruhetremor, ein linksbetonter Rigor, eine beidseitige Bradyhypokinese und eine linksbetonte Dysdiadochokinese. Im Bereich der unteren Extremitäten bestehe eine symmetrische Bradyhypokinese, kein Rigor, kein Tremor und der Gang sei flüssig, jedoch leicht nach vorne und rechts gebeugt.</w:t>
      </w:r>
    </w:p>
    <w:p>
      <w:r>
        <w:rPr>
          <w:b/>
        </w:rPr>
        <w:t>E. 4.5</w:t>
      </w:r>
    </w:p>
    <w:p>
      <w:r>
        <w:t>Im Bericht vom 13. Oktober 2020 gab Dr. D.____ in Bezug auf den Neurostatus an, die Versicherte sei wach und orientiert, es gebe jedoch eine psychomotorische Verlangsamung, eine geprägte Hypomimie sowie eine leichte Dysarthrie, einen linksbetonten feinschlägigen Haltetremor und ein linksbetontes Akineto-rigides Syndrom. Der Gang sei leicht nach vorne geneigt, jedoch mit normaler Schrittlänge und flüssigem Gangbild, die Wendeschrittzahl liege bei drei und es bestehe eine deutliche posturale Instabilität (Pulltest mit Fallneigung nach hinten). In seiner Beurteilung hielt er ferner fest, es zeige sich im Vergleich zur letzten Konsultation ein weitgehend stabiler Verlauf.</w:t>
      </w:r>
    </w:p>
    <w:p>
      <w:r>
        <w:rPr>
          <w:b/>
        </w:rPr>
        <w:t>E. 4.6</w:t>
      </w:r>
    </w:p>
    <w:p>
      <w:r>
        <w:t>In seiner Stellungnahme vom 21. Oktober 2020 hielt der RAD-Arzt Dr. C.____ fest, sowohl aus Sicht des behandelnden Arztes als auch aus versicherungsmedizinischer Sicht werde eine 50%ige Arbeitsfähigkeit für die angestammte Tätigkeit (in einem Angestelltenverhältnis) als auch in einer angepassten Tätigkeit angenommen; insofern bestehe Konsens. 5.1 Die IV-Stelle ging gestützt auf die Beurteilungen des RAD-Arztes Dr. C.____ vom 7. November 2019 und vom 21. Oktober 2020 davon aus, dass die Versicherte in ihrer bisherigen Tätigkeit als Inhaberin eines Secondhand-Geschäfts zu 60% arbeitsfähig, in einer ähnlichen Tätigkeit im Angestelltenverhältnis sowie in einer leidensangepassten Verweistätigkeit (körperlich leichte Tätigkeit) zu 50% arbeitsfähig sei. Wie oben ausgeführt ist grundsätzlich nicht zu beanstanden, dass ein Versicherungsträger seinen Entscheid auf medizinische Unterlagen stützt, die er versicherungsintern eingeholt hat.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3.5 hiervor und die dortigen Hinweise auf die entsprechende bundesgerichtliche Rechtsprechung). 5.2 Die Beschwerdeführerin wendet ein, es sei nicht nachvollziehbar, weshalb Dr. C.____ in einer angepassten Tätigkeit von einer um 10% höheren Arbeitsfähigkeit als in der angestammten Tätigkeit ausgehe. Der Beschwerdeführerin ist beizupflichten, dass Dr. C.____ diese Diskrepanz zwischen angestammter und leidensangepasster Tätigkeit nicht nachvollziehbar begründet hat. Insofern sind zumindest leichte Zweifel an der Beurteilung des RAD-Arztes angebracht. Dies umso mehr, als Dr. C.____ kein neurologischer Facharzt ist. Nachdem sich jedoch aus den Akten ergibt, dass die übrigen medizinischen Beurteilungen übereinstimmend von einer 50%igen Arbeitsunfähigkeit in der angestammten Tätigkeit ausgehen, kann an dieser Stelle auf die Einholung ergänzender Abklärungen zur Arbeitsfähigkeit der Beschwerdeführerin verzichtet werden. Hinzu kommt, dass Dr. D.____ in seinem aktuellsten Bericht vom 27. November 2020 eine 50%ige Arbeitsfähigkeit in der angestammten Tätigkeit bestätigt. Zwar wurde dieser Arztbericht nach Erlass der Verfügung vom 26. Oktober 2020 erstellt, er ist allerdings für die Beurteilung der Arbeitsfähigkeit dennoch zu berücksichtigen. Die anlässlich der heutigen Gerichtsverhandlung geschilderte Verschlechterung des Gesundheitszustandes mit Spitex-Notwendigkeit aufgrund eines Katheters hat sich hingegen erst nach Erlass der angefochtenen Verfügung zugetragen und kann daher nicht berücksichtigt werden (vgl. E. 3.7 hiervor); sie wäre gegebenenfalls im Rahmen einer Neuanmeldung zu überprüfen. Insgesamt ist mit überwiegender Wahrscheinlichkeit davon auszugehen, dass bei der Beschwerdeführerin sowohl in der angestammten als auch in einer leidensangepassten Tätigkeiteine Arbeitsfähigkeit von 50% vorliegt. 6.1 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Insoweit die fraglichen Erwerbseinkommen ziffernmässig nicht genau ermittelt werden können, sind sie nach Massgabe der im Einzelfall bekannten Umstände zu schätzen und die so gewonnenen Annäherungswerte sind miteinander zu vergleichen. 6.2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6.3 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4.2, 129 V 222 E. 4.3.1). 6.4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(BGE 129 V 472 E. 4.2.1). 6.5 Namentlich bei Selbständigerwerbenden kann sich eine zuverlässige Ermittlung der beiden hypothetischen Vergleichseinkommen als schwierig oder unmöglich erweisen. Lassen sich die beiden hypothetischen Erwerbseinkommen nicht zuverlässig ermitteln oder schätzen, so ist ausnahmsweise in Anlehnung an Art. 27 der Verordnung über die Invalidenversicherung (IVV) vom 17. Januar 1961 ein Betätigungsvergleich durchzuführen und der Invaliditätsgrad nach Massgabe der erwerblichen Auswirkungen der verminderten Leistungsfähigkeit in der konkreten erwerblichen Situation zu bestimmen (sog. ausserordentliches Bemessungsverfahren; BGE 128 V 29 E. 1; Urteil des Bundesgerichts vom 7. Oktober 2009, 9C_236/2009, E. 3 und 4). Zunächst ist anhand des Betätigungsvergleichs die leidensbedingte Behinderung festzustellen; sodann ist diese im Hinblick auf ihre erwerbliche Auswirkung besonders zu gewichten. Eine bestimmte Einschränkung im funktionellen Leistungsvermögen eines Erwerbstätigen kann zwar, braucht aber nicht notwendigerweise eine Erwerbseinbusse gleichen Umfangs zur Folge zu haben. Eine gesetzliche Regelung, welche Bemessungsmethode bei Selbständig- erwerbenden anzuwenden ist, gibt es nicht. Welche Methode Anwendung findet, hängt in erster Linie davon ab, ob sich die hypothetischen Erwerbseinkommen zuverlässig schätzen lassen (allgemeine Methode) oder nicht (ausserordentliche Methode). Anzufügen ist in diesem Zusammenhang, dass den Verwaltungsbehörden bezüglich der Auswahl der Methode ein gewisser Ermessensspielraum zusteht, in den das Gericht nicht ohne Not eingreift. 6.6 Bevor die versicherte Person Leistungen beanspruchen darf, hat sie in Berücksichtigung der Schadenminderungspflicht alles ihr Zumutbare selber vorzukehren, um die Folgen der Invalidität bestmöglich zu mindern. Ein Rentenanspruch ist zu verneinen, wenn sie selbst ohne Eingliederungsmassnahmen, nötigenfalls mit einem Berufswechsel, in der Lage ist, ein renten-ausschliessendes Erwerbseinkommen zu erzielen. Für die Auslegung des unbestimmten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des Bundesgerichts vom 3. Mai 2016, 9C_644/2015, E. 4.3.1 mit zahlreichen Hinweisen). Dies führt dazu, dass eine versicherte Person unter Umständen so zu behandeln ist, wie wenn sie ihre Tätigkeit als Selbständigerwerbende aufgäbe, d.h. sie hat sich im Rahmen der Invaliditätsbemessung jene Einkünfte anrechnen zu lassen, welche sie bei Aufnahme einer leidensangepassten unselbständigen Erwerbstätigkeit zumutbarerweise verdienen könnte (Urteil des Bundesgerichts vom 17. November 2015, 8C_492/2015, E. 2.2 mit Hinweisen). 7.1 Beim Einkommensvergleich stellte die IV-Stelle sowohl für das Validen- als auch für das Invalideneinkommen auf den Durchschnitt des bisherigen, tatsächlich erzielten Einkommens ab, denn die Versicherte arbeitete auch nach Eintritt des Gesundheitsschadens weiterhin als Inhaberin eines Secondhand-Geschäfts. Gestützt auf die Geschäftsabschlüsse und die Einkommenszahlen aus dem Individuellen Konto (IK-Auszug) in den Jahren 2015-2017 ermittelte sie ein Valideneinkommen in Höhe von Fr. 32'546.--. Hinsichtlich des Invalideneinkommens berücksichtigte die IV-Stelle das durchschnittliche Einkommen der Jahre 2018 und 2019, zumal die Parkinsondiagnose im August 2017 gestellt wurde. Dabei ermittelte sie gestützt auf die Geschäftsabschlüsse und die Einkommenszahlen aus dem Individuellen Konto (IK-Auszug) in den Jahren 2018-2019 ein Einkommen von Fr. 34'151.--. Die Gegenüberstellung von Validen- und Invalideneinkommen ergab demnach einen IV-Grad von 0%. 7.2.1 Die Beschwerdeführerin wendet in Bezug auf die Ermittlung des Invalideneinkommens ein, das höhere Einkommen nach Eintritt des Gesundheitsschadenhabe habe nur dank der Mithilfe von freiwilligen Helfenden erzielt werden können, wobei 47% der geleisteten Arbeitsstunden von diesen erbracht worden seien. 7.2.2 Im Abklärungsbericht Selbständigerwerbende vom 25. März 2020 wird unter Ziffer 3.2 (Nach Eintritt des Gesundheitsschadens invaliditätsbedingte Änderungen) die Reduktion der Geschäftsöffnungszeiten um einen Tag pro Woche sowie um eineinhalb Stunden pro Tag erwähnt. Zudem wird aufgeführt, die Versicherte nehme vermehrt Ware in Kommission an, um die Aufbereitungsarbeit zu reduzieren. Hinzu komme die unentgeltliche Hilfe durch eine Freundin im Umfang von wöchentlich ein bis zwei Stunden. 7.2.3 Im Rahmen des vorliegenden Beschwerdeverfahrens reichte die Beschwerdeführerin verschiedene Bestätigungen über Fremdhilfe ein. Insgesamt liegen Bestätigungen von acht freiwillig Helfenden vor, die einen Umfang von 28 Stunden Mithilfe pro Woche bestätigen. Die Mehrheit dieser Bestätigungen bezieht sich auf eine Mithilfe ab Sommer 2020, insofern liegt kein Widerspruch zum Abklärungsbericht Selbständigerwerbende vom 25. März 2020 vor. Eine zeitlich weiter zurückliegende Mithilfe bestätigen lediglich drei Personen. Die von diesen drei Personen bestätigte Mithilfe beträgt insgesamt rund 15 Stunden pro Woche. Das in den Jahren 2018 und 2019 erzielte Invalideneinkommen wurde somit unter einer wöchentlichen Mithilfe im Umfang von rund 15 Arbeitsstunden erzielt. Ob und inwieweit diese Mithilfe tatsächlich zum Geschäftsumsatz beigetragen hat, ist allerdings fraglich. Dies umso mehr, als die Beschwerdeführerin anlässlich der heutigen Befragung angegeben hat, dass die freiwillig Helfenden nie alleine im Geschäft, sondern sie selbst immer auch noch anwesend gewesen sei. Das in diesem Zusammenhang von der Beschwerdeführerin angeführte Urteil des Bundesgerichts 9C_236/2009 vom 7. Oktober 2009 setzt denn auch einen Kausalzusammenhang zwischen Mithilfe und Umsatzsteigerung voraus. Mithin ist der Anteil der Mithilfe nur dann vom Umsatz abzuziehen, wenn die Mithilfe nachweislich eine Umsatzsteigerung bewirkt hat. Im vorliegenden Fall ist ein entsprechender Nachweis nicht erbracht worden. Er liesse sich auch nicht durch weitere Abklärungen erbringen, da die Beschwerdeführerin nicht über eine Geschäftskasse verfügt, mit der die einzelnen Verkäufe individualisierbar und somit den jeweiligen Verkaufspersonen zuordenbar wären. Dass die blosse Präsenz bzw. Mithilfe eines freiwillig Helfenden im Geschäft nicht zwingend mit einem höheren Umsatz verbunden ist, erschliesst sich auch daraus, dass die krankheitsbedingte Reduktion der Öffnungszeiten des Geschäfts um wöchentlich einen Tag und täglich eineinhalb Stunden gemäss den Geschäftsabschlüssen zu keiner Umsatzeinbusse geführt hat. Insgesamt lässt sich nicht quantifizieren, ob und inwieweit die freiwillige Mithilfe von Personen aus dem persönlichen Umfeld der Beschwerdeführerin zum Geschäftsgewinn beigetragen hat. Dementsprechend ist eine Anpassung des Invalideneinkommens nicht zulässig. 7.3 Zu prüfen bleibt schliesslich, ob die Beschwerdeführerin einen Anspruch auf eine IV-Rente hätte, wenn sie ihre selbständige Erwerbstätigkeit aufgeben würde. Grundsätzlich ist auch Selbständigerwerbenden ein Berufswechsel resp. die Betriebsaufgabe im Rahmen der Schadenminderung zumutbar (vgl. E. 6.6 hiervor). Ausgehend von den LSE 2018, TA1, Total, Kompetenzniveau 1, Frauen, ist auf einen Tabellenwert von Fr. 4'371.-- abzustellen. Unter Anpassung an die Wochenarbeitszeit und die Nominallohnentwicklung (2018-2019) sowie unter Vornahme eines leidensbedingten Abzugs von 10% ergibt sich ein Invalideneinkommen von Fr. 24'950.75 und somit ebenfalls einen rentenausschliessenden IV-Grad von 23.33%. 7.4 Nachdem sich aus den Akten keine Hinweise ergeben, dass im Rahmen der Rechtsanwendung von Amtes wegen durch das Gericht eine andere Einschätzung des Valideneinkommens vorzunehmen wäre und die Berechnung desselben auch von der Versicherten nicht beanstandet wurde, erübrigt sich eine weitere Auseinandersetzung mit dem durch die IV-Stelle berechneten Valideneinkommen (vgl. E. 7.1 hiervor).</w:t>
      </w:r>
    </w:p>
    <w:p>
      <w:r>
        <w:rPr>
          <w:b/>
        </w:rPr>
        <w:t>E. 8</w:t>
      </w:r>
    </w:p>
    <w:p>
      <w:r>
        <w:t>Aus dem Gesagten folgt zusammenfassend, dass die IV-Stelle in der angefochtenen Verfügung vom 26. Oktober 2020 einen Rentenanspruch der Versicherten zu Recht abgelehnt hat. Die hiergegen erhobene Beschwerde erweist sich als unbegründet, weshalb sie abgewiesen werden muss. 9.1 Gemäss Art. 69 Abs. 1 bis IVG in der bis 31. Dezember 2020 gültig gewesenen, hier anwendbaren Fassung,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23. Dezember 2020 die unentgeltliche Prozessführung bewilligt worden. Aus diesem Grund werden die Verfahrenskosten vorläufig auf die Gerichtskasse genommen. 9.2 Dem Prozessausgang entsprechend ist der Beschwerdeführerin keine Parteientschädigung zu Lasten der IV-Stelle zuzusprechen. In der Verfügung vom 23. Dezember 2020 ist ihr jedoch die unentgeltliche Verbeiständung mit ihrer Rechtsvertreterin bewilligt worden, weshalb diese für ihre Bemühungen aus der Gerichtskasse zu entschädigen ist. Gemäss § 3 Abs. 2 der Tarifordnung für die Anwältinnen und Anwälte (TO) vom 17. November 2003 beträgt das Honorar bei unentgeltlicher Verbeiständung Fr. 200.-- pro Stunde, begrenzt auf die zur Wahrung der Rechte der vertretenen Person notwendigen Handlungen (§ 22 Abs. 2 des Gesetzes über die Verfassungs- und Verwaltungsprozessordnung [VPO] vom 16. Dezember 1993). Die Rechtsvertreterin der Beschwerdeführerin hat in ihrer Honorarnote vom 15. April 2021 für das vorliegende Verfahren (exkl. Hauptverhandlung) einen Zeitaufwand von 29 Stunden und 55 Minuten geltend gemacht. Dieser Aufwand erweist sich im Quervergleich zu ähnlich gelagerten Fällen als zu hoch. In Anbetracht des Umstands, dass die Rechtsvertreterin Fachanwältin für Haft- und Versicherungsrecht ist, ist bei den rechtlichen Abklärungen eine Reduktion von einer Stunde angezeigt. Ebenso erscheint der geltend gemachte Aufwand für den Kundenbesuch am 23. November 2020 zu hoch. Die Notwendigkeit eines persönlichen Besuchs bei der Beschwerdeführerin zu Hause erschliesst sich dem Gericht nicht. Genauso zielführend wäre ein telefonisches Gespräch bzw. ein persönliches Gespräch im Büro der Rechtsvertreterin gewesen, was einen deutlich geringeren Kostenaufwand generiert hätte, weshalb eine Reduktion von 50 Minuten (Wegzeit) angezeigt ist. Ferner ist bei der Ausarbeitung der Beschwerdeschrift, des Plädoyers, beim Aktenstudium sowie beim Einholen von Unterlagen eine weitere Reduktion angezeigt, zumal die zweite Eingabe (Beschwerdebegründung) einige Wiederholungen der ersten Eingabe (Beschwerde) enthält und die Akten im Vergleich zu ähnlich gelagerten Fällen nicht derart umfangreich sind. Diesbezüglich ist eine Reduktion von 20 Stunden und 6 Minuten um 11 Stunden und 6 Minuten auf 9 Stunden angebracht. Für das vorliegende Verfahren erscheint unter Beachtung aller Umstände ein Aufwand von gerundet 18 Stunden und 30 Minuten, inkl. 1.5 Stunden für die Hauptverhandlung, als angemessen. Die ausgewiesenen Auslagen sind vor diesem Hintergrund um die Wegkosten für den Kundenbesuch am 23. November 2020 um Fr. 24.50 (2 x 17.5 km à Fr. -.70) auf den Betrag von Fr. 257.10 zu reduzieren. Der Rechtsvertreterin ist demnach ein Honorar von Fr. 3’700.-- ([18.5 Stunden x Fr. 200.--] + Auslagen von Fr. 257.10 zzgl. 7,7% Mehrwertsteuer) aus der Gerichtskasse auszurichten. 9.3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der Rechtsvertreterin der Beschwerdeführerin ein Honorar in der Höhe von Fr. 4'261.80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